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73590" w14:textId="77777777" w:rsidR="005F136A" w:rsidRDefault="005F136A" w:rsidP="005F136A">
      <w:pPr>
        <w:jc w:val="center"/>
        <w:rPr>
          <w:b/>
          <w:bCs/>
        </w:rPr>
      </w:pPr>
      <w:r w:rsidRPr="005F136A">
        <w:rPr>
          <w:b/>
          <w:bCs/>
        </w:rPr>
        <w:t>‘The Hazard Management Cycle is useful in minimising the impact of wildfires.’</w:t>
      </w:r>
      <w:r w:rsidRPr="005F136A">
        <w:rPr>
          <w:b/>
          <w:bCs/>
        </w:rPr>
        <w:br/>
        <w:t>Evaluate this view with reference to a wildfire event that you have studied</w:t>
      </w:r>
      <w:r w:rsidRPr="005F136A">
        <w:rPr>
          <w:b/>
          <w:bCs/>
        </w:rPr>
        <w:t xml:space="preserve">. </w:t>
      </w:r>
    </w:p>
    <w:p w14:paraId="1AD9323B" w14:textId="3FD0F296" w:rsidR="005F136A" w:rsidRPr="005F136A" w:rsidRDefault="005F136A" w:rsidP="005F136A">
      <w:pPr>
        <w:jc w:val="center"/>
        <w:rPr>
          <w:b/>
          <w:bCs/>
        </w:rPr>
      </w:pPr>
      <w:r w:rsidRPr="005F136A">
        <w:rPr>
          <w:b/>
          <w:bCs/>
        </w:rPr>
        <w:t>(20 marks)</w:t>
      </w:r>
    </w:p>
    <w:p w14:paraId="6507713D" w14:textId="1A472051" w:rsidR="005F136A" w:rsidRPr="005F136A" w:rsidRDefault="005F136A" w:rsidP="005F136A">
      <w:r w:rsidRPr="005F136A">
        <w:t xml:space="preserve">The Hazard Management Cycle (HMC) outlines the sequence of activities before, during and after </w:t>
      </w:r>
      <w:r w:rsidR="00375C10">
        <w:t>an</w:t>
      </w:r>
      <w:r w:rsidRPr="005F136A">
        <w:t xml:space="preserve"> event</w:t>
      </w:r>
      <w:r w:rsidR="00375C10">
        <w:t xml:space="preserve">, </w:t>
      </w:r>
      <w:r w:rsidRPr="005F136A">
        <w:t>including mitigation, preparedness, response, and recovery</w:t>
      </w:r>
      <w:r w:rsidR="00375C10">
        <w:t xml:space="preserve"> with the aim of </w:t>
      </w:r>
      <w:r w:rsidRPr="005F136A">
        <w:t>show</w:t>
      </w:r>
      <w:r w:rsidR="00375C10">
        <w:t>ing</w:t>
      </w:r>
      <w:r w:rsidRPr="005F136A">
        <w:t xml:space="preserve"> societ</w:t>
      </w:r>
      <w:r w:rsidR="00375C10">
        <w:t xml:space="preserve">y how to </w:t>
      </w:r>
      <w:r w:rsidRPr="005F136A">
        <w:t>reduce the impacts of hazards. This model is useful when applied to wildfire management, as it emphasises the importance of long-term planning as well as short-</w:t>
      </w:r>
      <w:commentRangeStart w:id="0"/>
      <w:commentRangeStart w:id="1"/>
      <w:r w:rsidRPr="005F136A">
        <w:t xml:space="preserve">term responses. </w:t>
      </w:r>
      <w:commentRangeEnd w:id="0"/>
      <w:r>
        <w:rPr>
          <w:rStyle w:val="CommentReference"/>
        </w:rPr>
        <w:commentReference w:id="0"/>
      </w:r>
      <w:commentRangeEnd w:id="1"/>
      <w:r>
        <w:rPr>
          <w:rStyle w:val="CommentReference"/>
        </w:rPr>
        <w:commentReference w:id="1"/>
      </w:r>
      <w:r w:rsidRPr="005F136A">
        <w:t>Using the 2019–2020 Australian “Black Summer” wildfires as a case study, this essay will evaluate how far the HMC is effective in minimising the impacts of wildfires.</w:t>
      </w:r>
    </w:p>
    <w:p w14:paraId="5B1BD5F5" w14:textId="1C764C8B" w:rsidR="005F136A" w:rsidRPr="005F136A" w:rsidRDefault="005F136A" w:rsidP="005F136A">
      <w:r w:rsidRPr="005F136A">
        <w:t xml:space="preserve">Before the Black Summer wildfires, Australia had extensive wildfire preparedness systems through state-level agencies such as the NSW Rural Fire Service. Satellite imagery, weather forecasting, and fire danger indices were used to monitor risk. Controlled burns, vegetation clearance, and community education programmes also formed part of the mitigation </w:t>
      </w:r>
      <w:commentRangeStart w:id="2"/>
      <w:r w:rsidRPr="005F136A">
        <w:t>phase.</w:t>
      </w:r>
      <w:commentRangeEnd w:id="2"/>
      <w:r>
        <w:rPr>
          <w:rStyle w:val="CommentReference"/>
        </w:rPr>
        <w:commentReference w:id="2"/>
      </w:r>
    </w:p>
    <w:p w14:paraId="55EBFA3C" w14:textId="77777777" w:rsidR="005F136A" w:rsidRPr="005F136A" w:rsidRDefault="005F136A" w:rsidP="005F136A">
      <w:r w:rsidRPr="005F136A">
        <w:t xml:space="preserve">These strategies align closely with the </w:t>
      </w:r>
      <w:commentRangeStart w:id="3"/>
      <w:r w:rsidRPr="005F136A">
        <w:t xml:space="preserve">HMC’s pre-event </w:t>
      </w:r>
      <w:commentRangeEnd w:id="3"/>
      <w:r>
        <w:rPr>
          <w:rStyle w:val="CommentReference"/>
        </w:rPr>
        <w:commentReference w:id="3"/>
      </w:r>
      <w:r w:rsidRPr="005F136A">
        <w:t xml:space="preserve">phases and likely reduced losses in some areas, showing that the model can be effective when applied systematically. For example, effective mitigation helped protect built-up areas near Sydney. </w:t>
      </w:r>
      <w:commentRangeStart w:id="4"/>
      <w:r w:rsidRPr="005F136A">
        <w:t>However, climate change and extreme drought conditions made fires far more intense and widespread than anticipated, demonstrating the limits of preparedness when facing exceptional environmental conditions</w:t>
      </w:r>
      <w:commentRangeEnd w:id="4"/>
      <w:r>
        <w:rPr>
          <w:rStyle w:val="CommentReference"/>
        </w:rPr>
        <w:commentReference w:id="4"/>
      </w:r>
      <w:r w:rsidRPr="005F136A">
        <w:t xml:space="preserve">. Therefore, while the Hazard Management Cycle structure is useful, </w:t>
      </w:r>
      <w:commentRangeStart w:id="5"/>
      <w:r w:rsidRPr="005F136A">
        <w:t xml:space="preserve">its success heavily depends on the scale of the hazard and the resources </w:t>
      </w:r>
      <w:commentRangeStart w:id="6"/>
      <w:r w:rsidRPr="005F136A">
        <w:t>available</w:t>
      </w:r>
      <w:commentRangeEnd w:id="6"/>
      <w:r w:rsidR="00375C10">
        <w:rPr>
          <w:rStyle w:val="CommentReference"/>
        </w:rPr>
        <w:commentReference w:id="6"/>
      </w:r>
      <w:r w:rsidRPr="005F136A">
        <w:t>.</w:t>
      </w:r>
      <w:commentRangeEnd w:id="5"/>
      <w:r>
        <w:rPr>
          <w:rStyle w:val="CommentReference"/>
        </w:rPr>
        <w:commentReference w:id="5"/>
      </w:r>
    </w:p>
    <w:p w14:paraId="64983B38" w14:textId="77777777" w:rsidR="005F136A" w:rsidRPr="005F136A" w:rsidRDefault="005F136A" w:rsidP="005F136A">
      <w:r w:rsidRPr="005F136A">
        <w:t xml:space="preserve">During the 2019–2020 wildfires, over 72,000 firefighters, supported by volunteers and international aid, worked to control the fires using aerial water-bombing and ground crews. Evacuation orders were issued to towns in New South Wales and Victoria, saving thousands of </w:t>
      </w:r>
      <w:commentRangeStart w:id="7"/>
      <w:r w:rsidRPr="005F136A">
        <w:t>lives</w:t>
      </w:r>
      <w:commentRangeEnd w:id="7"/>
      <w:r>
        <w:rPr>
          <w:rStyle w:val="CommentReference"/>
        </w:rPr>
        <w:commentReference w:id="7"/>
      </w:r>
      <w:r w:rsidRPr="005F136A">
        <w:t xml:space="preserve">. This demonstrates the usefulness of the HMC in coordinating responses, especially through communication systems and emergency </w:t>
      </w:r>
      <w:commentRangeStart w:id="8"/>
      <w:r w:rsidRPr="005F136A">
        <w:t>planning</w:t>
      </w:r>
      <w:commentRangeEnd w:id="8"/>
      <w:r>
        <w:rPr>
          <w:rStyle w:val="CommentReference"/>
        </w:rPr>
        <w:commentReference w:id="8"/>
      </w:r>
      <w:r w:rsidRPr="005F136A">
        <w:t>.</w:t>
      </w:r>
    </w:p>
    <w:p w14:paraId="01A0E160" w14:textId="36C510D3" w:rsidR="005F136A" w:rsidRPr="005F136A" w:rsidRDefault="005F136A" w:rsidP="005F136A">
      <w:r w:rsidRPr="005F136A">
        <w:t xml:space="preserve">However, the scale and duration of the fires meant that some areas were isolated for days, and response efforts were stretched beyond capacity. Communication failures and slow government responses also attracted criticism, showing that the model’s response stage may be less effective when the event exceeds planning </w:t>
      </w:r>
      <w:commentRangeStart w:id="9"/>
      <w:r w:rsidRPr="005F136A">
        <w:t>expectations</w:t>
      </w:r>
      <w:commentRangeEnd w:id="9"/>
      <w:r>
        <w:rPr>
          <w:rStyle w:val="CommentReference"/>
        </w:rPr>
        <w:commentReference w:id="9"/>
      </w:r>
      <w:r w:rsidRPr="005F136A">
        <w:t>.</w:t>
      </w:r>
    </w:p>
    <w:p w14:paraId="13F2BF7F" w14:textId="77777777" w:rsidR="005F136A" w:rsidRPr="005F136A" w:rsidRDefault="005F136A" w:rsidP="005F136A">
      <w:r w:rsidRPr="005F136A">
        <w:t xml:space="preserve">The recovery stage in the HMC involves rebuilding infrastructure, restoring ecosystems, and providing emotional and financial support. In Australia, long-term recovery took years and included A$2 billion of federal aid for reconstruction, ecosystem restoration programmes, and psychological support for affected communities. The Hazard </w:t>
      </w:r>
      <w:r w:rsidRPr="005F136A">
        <w:lastRenderedPageBreak/>
        <w:t xml:space="preserve">Management Cycle effectively guided post-event planning, demonstrating its role in organising and prioritising long-term </w:t>
      </w:r>
      <w:commentRangeStart w:id="10"/>
      <w:r w:rsidRPr="005F136A">
        <w:t>recovery</w:t>
      </w:r>
      <w:commentRangeEnd w:id="10"/>
      <w:r>
        <w:rPr>
          <w:rStyle w:val="CommentReference"/>
        </w:rPr>
        <w:commentReference w:id="10"/>
      </w:r>
      <w:r w:rsidRPr="005F136A">
        <w:t>.</w:t>
      </w:r>
    </w:p>
    <w:p w14:paraId="62A937A3" w14:textId="77777777" w:rsidR="005F136A" w:rsidRPr="005F136A" w:rsidRDefault="005F136A" w:rsidP="005F136A">
      <w:r w:rsidRPr="005F136A">
        <w:t xml:space="preserve">Nevertheless, some environmental impacts, such as the loss of over 3 billion animals and damage to key ecosystems, are effectively irreversible within human timescales. </w:t>
      </w:r>
      <w:commentRangeStart w:id="11"/>
      <w:r w:rsidRPr="005F136A">
        <w:t>This</w:t>
      </w:r>
      <w:commentRangeEnd w:id="11"/>
      <w:r w:rsidR="00375C10">
        <w:rPr>
          <w:rStyle w:val="CommentReference"/>
        </w:rPr>
        <w:commentReference w:id="11"/>
      </w:r>
      <w:r w:rsidRPr="005F136A">
        <w:t xml:space="preserve"> highlights that the cycle cannot fully “minimise impacts” of disasters driven by global climate factors beyond immediate </w:t>
      </w:r>
      <w:commentRangeStart w:id="12"/>
      <w:r w:rsidRPr="005F136A">
        <w:t>control</w:t>
      </w:r>
      <w:commentRangeEnd w:id="12"/>
      <w:r>
        <w:rPr>
          <w:rStyle w:val="CommentReference"/>
        </w:rPr>
        <w:commentReference w:id="12"/>
      </w:r>
      <w:r w:rsidRPr="005F136A">
        <w:t>.</w:t>
      </w:r>
    </w:p>
    <w:p w14:paraId="67942EAB" w14:textId="618AC4FB" w:rsidR="005F136A" w:rsidRPr="005F136A" w:rsidRDefault="005F136A" w:rsidP="005F136A">
      <w:r w:rsidRPr="005F136A">
        <w:t>The Hazard Management Cycle provides a systematic framework that helps structure wildfire management and improves resilience through continuous learning and adaptation. However, in the case of the Black Summer wildfires, its practical usefulness was limited by the event’s unprecedented intensity and duration. While the model improves coordination, education, and recovery, it cannot eliminate the fundamental causes—such as climate change, extreme drought, and flammable vegetation—which amplify wildfire severity in regions like Australia.</w:t>
      </w:r>
      <w:r>
        <w:t xml:space="preserve"> Therefore</w:t>
      </w:r>
      <w:r w:rsidRPr="005F136A">
        <w:t xml:space="preserve">, the cycle is useful for managing wildfires but insufficient for minimising impacts alone, especially in megafires linked to global climate </w:t>
      </w:r>
      <w:commentRangeStart w:id="13"/>
      <w:r w:rsidRPr="005F136A">
        <w:t>patterns</w:t>
      </w:r>
      <w:commentRangeEnd w:id="13"/>
      <w:r>
        <w:rPr>
          <w:rStyle w:val="CommentReference"/>
        </w:rPr>
        <w:commentReference w:id="13"/>
      </w:r>
      <w:r w:rsidRPr="005F136A">
        <w:t>.</w:t>
      </w:r>
    </w:p>
    <w:p w14:paraId="3F57BE04" w14:textId="77777777" w:rsidR="005F136A" w:rsidRPr="005F136A" w:rsidRDefault="005F136A" w:rsidP="005F136A">
      <w:r w:rsidRPr="005F136A">
        <w:t xml:space="preserve">Overall, the Hazard Management Cycle is a valuable conceptual tool for wildfire management, promoting a continuous process of preparedness, response, and recovery. The Black Summer fires demonstrate that while the model provides structure and improves resilience, its effectiveness is ultimately constrained by environmental and climatic factors. Therefore, it is partially useful in minimising impacts, but its success depends on wider environmental management and global climate mitigation </w:t>
      </w:r>
      <w:commentRangeStart w:id="14"/>
      <w:r w:rsidRPr="005F136A">
        <w:t>efforts</w:t>
      </w:r>
      <w:commentRangeEnd w:id="14"/>
      <w:r w:rsidR="00375C10">
        <w:rPr>
          <w:rStyle w:val="CommentReference"/>
        </w:rPr>
        <w:commentReference w:id="14"/>
      </w:r>
      <w:r w:rsidRPr="005F136A">
        <w:t>.</w:t>
      </w:r>
    </w:p>
    <w:p w14:paraId="5EE32FBE" w14:textId="77777777" w:rsidR="00375C10" w:rsidRDefault="00375C10" w:rsidP="005F136A">
      <w:pPr>
        <w:rPr>
          <w:b/>
          <w:bCs/>
        </w:rPr>
      </w:pPr>
    </w:p>
    <w:p w14:paraId="2461691A" w14:textId="068F18EA" w:rsidR="00375C10" w:rsidRDefault="00375C10" w:rsidP="005F136A">
      <w:pPr>
        <w:rPr>
          <w:b/>
          <w:bCs/>
        </w:rPr>
      </w:pPr>
      <w:r>
        <w:rPr>
          <w:b/>
          <w:bCs/>
        </w:rPr>
        <w:t xml:space="preserve">Comments: </w:t>
      </w:r>
    </w:p>
    <w:p w14:paraId="5C75EA7C" w14:textId="798267D0" w:rsidR="00375C10" w:rsidRDefault="00375C10" w:rsidP="00375C10">
      <w:pPr>
        <w:pStyle w:val="ListParagraph"/>
        <w:numPr>
          <w:ilvl w:val="0"/>
          <w:numId w:val="2"/>
        </w:numPr>
        <w:rPr>
          <w:b/>
          <w:bCs/>
        </w:rPr>
      </w:pPr>
      <w:r>
        <w:rPr>
          <w:b/>
          <w:bCs/>
        </w:rPr>
        <w:t xml:space="preserve">AO1 knowledge is clear; there is a clear understanding of the Hazard Management Cycle and of the case study </w:t>
      </w:r>
    </w:p>
    <w:p w14:paraId="0BE972DA" w14:textId="23EFB696" w:rsidR="00375C10" w:rsidRDefault="00375C10" w:rsidP="00375C10">
      <w:pPr>
        <w:pStyle w:val="ListParagraph"/>
        <w:numPr>
          <w:ilvl w:val="0"/>
          <w:numId w:val="2"/>
        </w:numPr>
        <w:rPr>
          <w:b/>
          <w:bCs/>
        </w:rPr>
      </w:pPr>
      <w:r>
        <w:rPr>
          <w:b/>
          <w:bCs/>
        </w:rPr>
        <w:t xml:space="preserve">AO2 application to evaluate: The case study is applied clearly to allow for a clear evaluation of the Hazard Management Cycle </w:t>
      </w:r>
    </w:p>
    <w:p w14:paraId="2D1559EB" w14:textId="4E17DFBA" w:rsidR="00375C10" w:rsidRDefault="00375C10" w:rsidP="00375C10">
      <w:pPr>
        <w:pStyle w:val="ListParagraph"/>
        <w:numPr>
          <w:ilvl w:val="0"/>
          <w:numId w:val="2"/>
        </w:numPr>
        <w:rPr>
          <w:b/>
          <w:bCs/>
        </w:rPr>
      </w:pPr>
      <w:r>
        <w:rPr>
          <w:b/>
          <w:bCs/>
        </w:rPr>
        <w:t xml:space="preserve">While the evaluation is clear and outlines the positives and negatives, there </w:t>
      </w:r>
      <w:r w:rsidR="008B79A3">
        <w:rPr>
          <w:b/>
          <w:bCs/>
        </w:rPr>
        <w:t>are</w:t>
      </w:r>
      <w:r>
        <w:rPr>
          <w:b/>
          <w:bCs/>
        </w:rPr>
        <w:t xml:space="preserve"> limited conceptual links and wider geographical themes analysed that would lead to more in depth evaluation </w:t>
      </w:r>
    </w:p>
    <w:p w14:paraId="58C0A6BC" w14:textId="77777777" w:rsidR="00375C10" w:rsidRDefault="00375C10" w:rsidP="00375C10">
      <w:pPr>
        <w:rPr>
          <w:b/>
          <w:bCs/>
        </w:rPr>
      </w:pPr>
    </w:p>
    <w:p w14:paraId="37B507E5" w14:textId="4F203F28" w:rsidR="00375C10" w:rsidRPr="00375C10" w:rsidRDefault="00375C10" w:rsidP="00375C10">
      <w:pPr>
        <w:rPr>
          <w:b/>
          <w:bCs/>
        </w:rPr>
      </w:pPr>
      <w:r>
        <w:rPr>
          <w:b/>
          <w:bCs/>
        </w:rPr>
        <w:t xml:space="preserve">Mark: Level 3 15/20 </w:t>
      </w:r>
    </w:p>
    <w:p w14:paraId="68CFB9A7" w14:textId="77777777" w:rsidR="00574A1F" w:rsidRDefault="00574A1F"/>
    <w:sectPr w:rsidR="00574A1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s D Webb" w:date="2026-02-02T18:38:00Z" w:initials="DW">
    <w:p w14:paraId="625AFC7F" w14:textId="77777777" w:rsidR="005F136A" w:rsidRDefault="005F136A" w:rsidP="005F136A">
      <w:pPr>
        <w:pStyle w:val="CommentText"/>
      </w:pPr>
      <w:r>
        <w:rPr>
          <w:rStyle w:val="CommentReference"/>
        </w:rPr>
        <w:annotationRef/>
      </w:r>
      <w:r>
        <w:t xml:space="preserve">Clear AO1 introduces knowledge </w:t>
      </w:r>
    </w:p>
  </w:comment>
  <w:comment w:id="1" w:author="Ms D Webb" w:date="2026-02-02T18:39:00Z" w:initials="DW">
    <w:p w14:paraId="0D780252" w14:textId="77777777" w:rsidR="005F136A" w:rsidRDefault="005F136A" w:rsidP="005F136A">
      <w:pPr>
        <w:pStyle w:val="CommentText"/>
      </w:pPr>
      <w:r>
        <w:rPr>
          <w:rStyle w:val="CommentReference"/>
        </w:rPr>
        <w:annotationRef/>
      </w:r>
      <w:r>
        <w:t xml:space="preserve">AO1 / AO2 - Case study introduced. Promising essay structure. </w:t>
      </w:r>
    </w:p>
  </w:comment>
  <w:comment w:id="2" w:author="Ms D Webb" w:date="2026-02-02T18:39:00Z" w:initials="DW">
    <w:p w14:paraId="657476B3" w14:textId="77777777" w:rsidR="005F136A" w:rsidRDefault="005F136A" w:rsidP="005F136A">
      <w:pPr>
        <w:pStyle w:val="CommentText"/>
      </w:pPr>
      <w:r>
        <w:rPr>
          <w:rStyle w:val="CommentReference"/>
        </w:rPr>
        <w:annotationRef/>
      </w:r>
      <w:r>
        <w:t xml:space="preserve">Clear AO1 case study knowledge </w:t>
      </w:r>
    </w:p>
  </w:comment>
  <w:comment w:id="3" w:author="Ms D Webb" w:date="2026-02-02T18:40:00Z" w:initials="DW">
    <w:p w14:paraId="60F877E4" w14:textId="77777777" w:rsidR="005F136A" w:rsidRDefault="005F136A" w:rsidP="005F136A">
      <w:pPr>
        <w:pStyle w:val="CommentText"/>
      </w:pPr>
      <w:r>
        <w:rPr>
          <w:rStyle w:val="CommentReference"/>
        </w:rPr>
        <w:annotationRef/>
      </w:r>
      <w:r>
        <w:t xml:space="preserve">Clear AO1 knowledge </w:t>
      </w:r>
    </w:p>
  </w:comment>
  <w:comment w:id="4" w:author="Ms D Webb" w:date="2026-02-02T18:40:00Z" w:initials="DW">
    <w:p w14:paraId="460B4712" w14:textId="77777777" w:rsidR="005F136A" w:rsidRDefault="005F136A" w:rsidP="005F136A">
      <w:pPr>
        <w:pStyle w:val="CommentText"/>
      </w:pPr>
      <w:r>
        <w:rPr>
          <w:rStyle w:val="CommentReference"/>
        </w:rPr>
        <w:annotationRef/>
      </w:r>
      <w:r>
        <w:t xml:space="preserve">Clear AO2 application </w:t>
      </w:r>
    </w:p>
  </w:comment>
  <w:comment w:id="6" w:author="Ms D Webb" w:date="2026-02-02T18:53:00Z" w:initials="DW">
    <w:p w14:paraId="2AB43ECE" w14:textId="77777777" w:rsidR="00375C10" w:rsidRDefault="00375C10" w:rsidP="00375C10">
      <w:pPr>
        <w:pStyle w:val="CommentText"/>
      </w:pPr>
      <w:r>
        <w:rPr>
          <w:rStyle w:val="CommentReference"/>
        </w:rPr>
        <w:annotationRef/>
      </w:r>
      <w:r>
        <w:t xml:space="preserve">EBI: Opportunity to explore and analysis the theme of scale here; would allow for deeper evaluation </w:t>
      </w:r>
    </w:p>
  </w:comment>
  <w:comment w:id="5" w:author="Ms D Webb" w:date="2026-02-02T18:41:00Z" w:initials="DW">
    <w:p w14:paraId="760BCB21" w14:textId="7E43E2DD" w:rsidR="005F136A" w:rsidRDefault="005F136A" w:rsidP="005F136A">
      <w:pPr>
        <w:pStyle w:val="CommentText"/>
      </w:pPr>
      <w:r>
        <w:rPr>
          <w:rStyle w:val="CommentReference"/>
        </w:rPr>
        <w:annotationRef/>
      </w:r>
      <w:r>
        <w:t xml:space="preserve">AO2 - Evaluative comment </w:t>
      </w:r>
    </w:p>
  </w:comment>
  <w:comment w:id="7" w:author="Ms D Webb" w:date="2026-02-02T18:41:00Z" w:initials="DW">
    <w:p w14:paraId="41233DA1" w14:textId="77777777" w:rsidR="005F136A" w:rsidRDefault="005F136A" w:rsidP="005F136A">
      <w:pPr>
        <w:pStyle w:val="CommentText"/>
      </w:pPr>
      <w:r>
        <w:rPr>
          <w:rStyle w:val="CommentReference"/>
        </w:rPr>
        <w:annotationRef/>
      </w:r>
      <w:r>
        <w:t xml:space="preserve">Clear AO1 case study knowledge </w:t>
      </w:r>
    </w:p>
  </w:comment>
  <w:comment w:id="8" w:author="Ms D Webb" w:date="2026-02-02T18:41:00Z" w:initials="DW">
    <w:p w14:paraId="47CD09A5" w14:textId="77777777" w:rsidR="005F136A" w:rsidRDefault="005F136A" w:rsidP="005F136A">
      <w:pPr>
        <w:pStyle w:val="CommentText"/>
      </w:pPr>
      <w:r>
        <w:rPr>
          <w:rStyle w:val="CommentReference"/>
        </w:rPr>
        <w:annotationRef/>
      </w:r>
      <w:r>
        <w:t xml:space="preserve">AO2 - Further evaluation </w:t>
      </w:r>
    </w:p>
  </w:comment>
  <w:comment w:id="9" w:author="Ms D Webb" w:date="2026-02-02T18:42:00Z" w:initials="DW">
    <w:p w14:paraId="258E93EE" w14:textId="72CA3984" w:rsidR="005F136A" w:rsidRDefault="005F136A" w:rsidP="005F136A">
      <w:pPr>
        <w:pStyle w:val="CommentText"/>
      </w:pPr>
      <w:r>
        <w:rPr>
          <w:rStyle w:val="CommentReference"/>
        </w:rPr>
        <w:annotationRef/>
      </w:r>
      <w:r>
        <w:t xml:space="preserve">AO1 case study knowledge combined with evaluation - AO2 application </w:t>
      </w:r>
    </w:p>
  </w:comment>
  <w:comment w:id="10" w:author="Ms D Webb" w:date="2026-02-02T18:43:00Z" w:initials="DW">
    <w:p w14:paraId="530D69C0" w14:textId="77777777" w:rsidR="005F136A" w:rsidRDefault="005F136A" w:rsidP="005F136A">
      <w:pPr>
        <w:pStyle w:val="CommentText"/>
      </w:pPr>
      <w:r>
        <w:rPr>
          <w:rStyle w:val="CommentReference"/>
        </w:rPr>
        <w:annotationRef/>
      </w:r>
      <w:r>
        <w:t xml:space="preserve">AO1 case study knowledge </w:t>
      </w:r>
    </w:p>
  </w:comment>
  <w:comment w:id="11" w:author="Ms D Webb" w:date="2026-02-02T18:54:00Z" w:initials="DW">
    <w:p w14:paraId="0D632D07" w14:textId="77777777" w:rsidR="00375C10" w:rsidRDefault="00375C10" w:rsidP="00375C10">
      <w:pPr>
        <w:pStyle w:val="CommentText"/>
      </w:pPr>
      <w:r>
        <w:rPr>
          <w:rStyle w:val="CommentReference"/>
        </w:rPr>
        <w:annotationRef/>
      </w:r>
      <w:r>
        <w:t>EBI: Opportunity to explore the concept of ecosystems and analyse “irreversible environmental impacts within human timescales” in more detail for deeper evaluation</w:t>
      </w:r>
    </w:p>
  </w:comment>
  <w:comment w:id="12" w:author="Ms D Webb" w:date="2026-02-02T18:44:00Z" w:initials="DW">
    <w:p w14:paraId="5BCD6C22" w14:textId="1BA82A0D" w:rsidR="005F136A" w:rsidRDefault="005F136A" w:rsidP="005F136A">
      <w:pPr>
        <w:pStyle w:val="CommentText"/>
      </w:pPr>
      <w:r>
        <w:rPr>
          <w:rStyle w:val="CommentReference"/>
        </w:rPr>
        <w:annotationRef/>
      </w:r>
      <w:r>
        <w:t xml:space="preserve">AO2 application of case study knowledge to evaluate </w:t>
      </w:r>
    </w:p>
  </w:comment>
  <w:comment w:id="13" w:author="Ms D Webb" w:date="2026-02-02T18:45:00Z" w:initials="DW">
    <w:p w14:paraId="23B3BBCF" w14:textId="77777777" w:rsidR="005F136A" w:rsidRDefault="005F136A" w:rsidP="005F136A">
      <w:pPr>
        <w:pStyle w:val="CommentText"/>
      </w:pPr>
      <w:r>
        <w:rPr>
          <w:rStyle w:val="CommentReference"/>
        </w:rPr>
        <w:annotationRef/>
      </w:r>
      <w:r>
        <w:t xml:space="preserve">Strong evaluation summary </w:t>
      </w:r>
    </w:p>
  </w:comment>
  <w:comment w:id="14" w:author="Ms D Webb" w:date="2026-02-02T18:46:00Z" w:initials="DW">
    <w:p w14:paraId="13014083" w14:textId="77777777" w:rsidR="00375C10" w:rsidRDefault="00375C10" w:rsidP="00375C10">
      <w:pPr>
        <w:pStyle w:val="CommentText"/>
      </w:pPr>
      <w:r>
        <w:rPr>
          <w:rStyle w:val="CommentReference"/>
        </w:rPr>
        <w:annotationRef/>
      </w:r>
      <w:r>
        <w:t xml:space="preserve">Clear evaluation, good conclusion that summarises points made throughout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5AFC7F" w15:done="0"/>
  <w15:commentEx w15:paraId="0D780252" w15:paraIdParent="625AFC7F" w15:done="0"/>
  <w15:commentEx w15:paraId="657476B3" w15:done="0"/>
  <w15:commentEx w15:paraId="60F877E4" w15:done="0"/>
  <w15:commentEx w15:paraId="460B4712" w15:done="0"/>
  <w15:commentEx w15:paraId="2AB43ECE" w15:done="0"/>
  <w15:commentEx w15:paraId="760BCB21" w15:done="0"/>
  <w15:commentEx w15:paraId="41233DA1" w15:done="0"/>
  <w15:commentEx w15:paraId="47CD09A5" w15:done="0"/>
  <w15:commentEx w15:paraId="258E93EE" w15:done="0"/>
  <w15:commentEx w15:paraId="530D69C0" w15:done="0"/>
  <w15:commentEx w15:paraId="0D632D07" w15:done="0"/>
  <w15:commentEx w15:paraId="5BCD6C22" w15:done="0"/>
  <w15:commentEx w15:paraId="23B3BBCF" w15:done="0"/>
  <w15:commentEx w15:paraId="130140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72E151" w16cex:dateUtc="2026-02-02T18:38:00Z"/>
  <w16cex:commentExtensible w16cex:durableId="25DD5D94" w16cex:dateUtc="2026-02-02T18:39:00Z"/>
  <w16cex:commentExtensible w16cex:durableId="5B23669D" w16cex:dateUtc="2026-02-02T18:39:00Z"/>
  <w16cex:commentExtensible w16cex:durableId="576D1725" w16cex:dateUtc="2026-02-02T18:40:00Z"/>
  <w16cex:commentExtensible w16cex:durableId="10F9D652" w16cex:dateUtc="2026-02-02T18:40:00Z"/>
  <w16cex:commentExtensible w16cex:durableId="0161283E" w16cex:dateUtc="2026-02-02T18:53:00Z"/>
  <w16cex:commentExtensible w16cex:durableId="096EA018" w16cex:dateUtc="2026-02-02T18:41:00Z"/>
  <w16cex:commentExtensible w16cex:durableId="223A6B13" w16cex:dateUtc="2026-02-02T18:41:00Z"/>
  <w16cex:commentExtensible w16cex:durableId="16E62F62" w16cex:dateUtc="2026-02-02T18:41:00Z"/>
  <w16cex:commentExtensible w16cex:durableId="13AFD808" w16cex:dateUtc="2026-02-02T18:42:00Z"/>
  <w16cex:commentExtensible w16cex:durableId="3374E608" w16cex:dateUtc="2026-02-02T18:43:00Z"/>
  <w16cex:commentExtensible w16cex:durableId="37741568" w16cex:dateUtc="2026-02-02T18:54:00Z"/>
  <w16cex:commentExtensible w16cex:durableId="1E35E437" w16cex:dateUtc="2026-02-02T18:44:00Z"/>
  <w16cex:commentExtensible w16cex:durableId="545AA56A" w16cex:dateUtc="2026-02-02T18:45:00Z"/>
  <w16cex:commentExtensible w16cex:durableId="36B0716F" w16cex:dateUtc="2026-02-02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5AFC7F" w16cid:durableId="0472E151"/>
  <w16cid:commentId w16cid:paraId="0D780252" w16cid:durableId="25DD5D94"/>
  <w16cid:commentId w16cid:paraId="657476B3" w16cid:durableId="5B23669D"/>
  <w16cid:commentId w16cid:paraId="60F877E4" w16cid:durableId="576D1725"/>
  <w16cid:commentId w16cid:paraId="460B4712" w16cid:durableId="10F9D652"/>
  <w16cid:commentId w16cid:paraId="2AB43ECE" w16cid:durableId="0161283E"/>
  <w16cid:commentId w16cid:paraId="760BCB21" w16cid:durableId="096EA018"/>
  <w16cid:commentId w16cid:paraId="41233DA1" w16cid:durableId="223A6B13"/>
  <w16cid:commentId w16cid:paraId="47CD09A5" w16cid:durableId="16E62F62"/>
  <w16cid:commentId w16cid:paraId="258E93EE" w16cid:durableId="13AFD808"/>
  <w16cid:commentId w16cid:paraId="530D69C0" w16cid:durableId="3374E608"/>
  <w16cid:commentId w16cid:paraId="0D632D07" w16cid:durableId="37741568"/>
  <w16cid:commentId w16cid:paraId="5BCD6C22" w16cid:durableId="1E35E437"/>
  <w16cid:commentId w16cid:paraId="23B3BBCF" w16cid:durableId="545AA56A"/>
  <w16cid:commentId w16cid:paraId="13014083" w16cid:durableId="36B0716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401D6"/>
    <w:multiLevelType w:val="hybridMultilevel"/>
    <w:tmpl w:val="3262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550360"/>
    <w:multiLevelType w:val="multilevel"/>
    <w:tmpl w:val="59F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464599">
    <w:abstractNumId w:val="1"/>
  </w:num>
  <w:num w:numId="2" w16cid:durableId="36734170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s D Webb">
    <w15:presenceInfo w15:providerId="AD" w15:userId="S::DWebb@gospeloak.crst.org.uk::f6fd60a7-65e5-41d4-8970-23f9c93e20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6A"/>
    <w:rsid w:val="003443B4"/>
    <w:rsid w:val="00375C10"/>
    <w:rsid w:val="00574A1F"/>
    <w:rsid w:val="005F136A"/>
    <w:rsid w:val="008B79A3"/>
    <w:rsid w:val="00934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4C9D1"/>
  <w15:chartTrackingRefBased/>
  <w15:docId w15:val="{CE9E0D74-9F70-4C31-8853-4691CE20B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3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3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1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36A"/>
    <w:rPr>
      <w:rFonts w:eastAsiaTheme="majorEastAsia" w:cstheme="majorBidi"/>
      <w:color w:val="272727" w:themeColor="text1" w:themeTint="D8"/>
    </w:rPr>
  </w:style>
  <w:style w:type="paragraph" w:styleId="Title">
    <w:name w:val="Title"/>
    <w:basedOn w:val="Normal"/>
    <w:next w:val="Normal"/>
    <w:link w:val="TitleChar"/>
    <w:uiPriority w:val="10"/>
    <w:qFormat/>
    <w:rsid w:val="005F1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36A"/>
    <w:pPr>
      <w:spacing w:before="160"/>
      <w:jc w:val="center"/>
    </w:pPr>
    <w:rPr>
      <w:i/>
      <w:iCs/>
      <w:color w:val="404040" w:themeColor="text1" w:themeTint="BF"/>
    </w:rPr>
  </w:style>
  <w:style w:type="character" w:customStyle="1" w:styleId="QuoteChar">
    <w:name w:val="Quote Char"/>
    <w:basedOn w:val="DefaultParagraphFont"/>
    <w:link w:val="Quote"/>
    <w:uiPriority w:val="29"/>
    <w:rsid w:val="005F136A"/>
    <w:rPr>
      <w:i/>
      <w:iCs/>
      <w:color w:val="404040" w:themeColor="text1" w:themeTint="BF"/>
    </w:rPr>
  </w:style>
  <w:style w:type="paragraph" w:styleId="ListParagraph">
    <w:name w:val="List Paragraph"/>
    <w:basedOn w:val="Normal"/>
    <w:uiPriority w:val="34"/>
    <w:qFormat/>
    <w:rsid w:val="005F136A"/>
    <w:pPr>
      <w:ind w:left="720"/>
      <w:contextualSpacing/>
    </w:pPr>
  </w:style>
  <w:style w:type="character" w:styleId="IntenseEmphasis">
    <w:name w:val="Intense Emphasis"/>
    <w:basedOn w:val="DefaultParagraphFont"/>
    <w:uiPriority w:val="21"/>
    <w:qFormat/>
    <w:rsid w:val="005F136A"/>
    <w:rPr>
      <w:i/>
      <w:iCs/>
      <w:color w:val="0F4761" w:themeColor="accent1" w:themeShade="BF"/>
    </w:rPr>
  </w:style>
  <w:style w:type="paragraph" w:styleId="IntenseQuote">
    <w:name w:val="Intense Quote"/>
    <w:basedOn w:val="Normal"/>
    <w:next w:val="Normal"/>
    <w:link w:val="IntenseQuoteChar"/>
    <w:uiPriority w:val="30"/>
    <w:qFormat/>
    <w:rsid w:val="005F1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36A"/>
    <w:rPr>
      <w:i/>
      <w:iCs/>
      <w:color w:val="0F4761" w:themeColor="accent1" w:themeShade="BF"/>
    </w:rPr>
  </w:style>
  <w:style w:type="character" w:styleId="IntenseReference">
    <w:name w:val="Intense Reference"/>
    <w:basedOn w:val="DefaultParagraphFont"/>
    <w:uiPriority w:val="32"/>
    <w:qFormat/>
    <w:rsid w:val="005F136A"/>
    <w:rPr>
      <w:b/>
      <w:bCs/>
      <w:smallCaps/>
      <w:color w:val="0F4761" w:themeColor="accent1" w:themeShade="BF"/>
      <w:spacing w:val="5"/>
    </w:rPr>
  </w:style>
  <w:style w:type="character" w:styleId="CommentReference">
    <w:name w:val="annotation reference"/>
    <w:basedOn w:val="DefaultParagraphFont"/>
    <w:uiPriority w:val="99"/>
    <w:semiHidden/>
    <w:unhideWhenUsed/>
    <w:rsid w:val="005F136A"/>
    <w:rPr>
      <w:sz w:val="16"/>
      <w:szCs w:val="16"/>
    </w:rPr>
  </w:style>
  <w:style w:type="paragraph" w:styleId="CommentText">
    <w:name w:val="annotation text"/>
    <w:basedOn w:val="Normal"/>
    <w:link w:val="CommentTextChar"/>
    <w:uiPriority w:val="99"/>
    <w:unhideWhenUsed/>
    <w:rsid w:val="005F136A"/>
    <w:pPr>
      <w:spacing w:line="240" w:lineRule="auto"/>
    </w:pPr>
    <w:rPr>
      <w:sz w:val="20"/>
      <w:szCs w:val="20"/>
    </w:rPr>
  </w:style>
  <w:style w:type="character" w:customStyle="1" w:styleId="CommentTextChar">
    <w:name w:val="Comment Text Char"/>
    <w:basedOn w:val="DefaultParagraphFont"/>
    <w:link w:val="CommentText"/>
    <w:uiPriority w:val="99"/>
    <w:rsid w:val="005F136A"/>
    <w:rPr>
      <w:sz w:val="20"/>
      <w:szCs w:val="20"/>
    </w:rPr>
  </w:style>
  <w:style w:type="paragraph" w:styleId="CommentSubject">
    <w:name w:val="annotation subject"/>
    <w:basedOn w:val="CommentText"/>
    <w:next w:val="CommentText"/>
    <w:link w:val="CommentSubjectChar"/>
    <w:uiPriority w:val="99"/>
    <w:semiHidden/>
    <w:unhideWhenUsed/>
    <w:rsid w:val="005F136A"/>
    <w:rPr>
      <w:b/>
      <w:bCs/>
    </w:rPr>
  </w:style>
  <w:style w:type="character" w:customStyle="1" w:styleId="CommentSubjectChar">
    <w:name w:val="Comment Subject Char"/>
    <w:basedOn w:val="CommentTextChar"/>
    <w:link w:val="CommentSubject"/>
    <w:uiPriority w:val="99"/>
    <w:semiHidden/>
    <w:rsid w:val="005F13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customXml" Target="../customXml/item2.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368FAB-EF56-481E-A27D-0C59D1E0583B}"/>
</file>

<file path=customXml/itemProps2.xml><?xml version="1.0" encoding="utf-8"?>
<ds:datastoreItem xmlns:ds="http://schemas.openxmlformats.org/officeDocument/2006/customXml" ds:itemID="{C88E359E-E7DE-42D4-94F8-D0084E7FF98C}"/>
</file>

<file path=customXml/itemProps3.xml><?xml version="1.0" encoding="utf-8"?>
<ds:datastoreItem xmlns:ds="http://schemas.openxmlformats.org/officeDocument/2006/customXml" ds:itemID="{C3E21323-23AA-41B5-ABFE-6A725BA0A6F0}"/>
</file>

<file path=docProps/app.xml><?xml version="1.0" encoding="utf-8"?>
<Properties xmlns="http://schemas.openxmlformats.org/officeDocument/2006/extended-properties" xmlns:vt="http://schemas.openxmlformats.org/officeDocument/2006/docPropsVTypes">
  <Template>Normal</Template>
  <TotalTime>21</TotalTime>
  <Pages>2</Pages>
  <Words>764</Words>
  <Characters>4115</Characters>
  <Application>Microsoft Office Word</Application>
  <DocSecurity>0</DocSecurity>
  <Lines>141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D Webb</dc:creator>
  <cp:keywords/>
  <dc:description/>
  <cp:lastModifiedBy>Ms D Webb</cp:lastModifiedBy>
  <cp:revision>1</cp:revision>
  <dcterms:created xsi:type="dcterms:W3CDTF">2026-02-02T18:35:00Z</dcterms:created>
  <dcterms:modified xsi:type="dcterms:W3CDTF">2026-02-02T18:56:00Z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ies>
</file>